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edgardoc.xml.htm"/>
      <w:bookmarkStart w:id="1" w:name="ksedgardoc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WIEHOFF JOHN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1400 DOUGLAS ST.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OMAHA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NE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68179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UNION PACIFIC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UNP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1738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75"/>
        <w:gridCol w:w="861"/>
        <w:gridCol w:w="891"/>
        <w:gridCol w:w="771"/>
        <w:gridCol w:w="591"/>
        <w:gridCol w:w="300"/>
        <w:gridCol w:w="498"/>
        <w:gridCol w:w="303"/>
        <w:gridCol w:w="906"/>
        <w:gridCol w:w="801"/>
        <w:gridCol w:w="891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738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7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2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7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3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7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Phantom Stock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0.0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10/01/2026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172</w:t>
            </w:r>
          </w:p>
        </w:tc>
        <w:tc>
          <w:tcPr>
            <w:tcW w:w="3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172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272.42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2,388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Distribution ratio for Phantom Stock Units is 1:1.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Phantom Stock Units are payable in cash only commencing at retirement.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By: Trevor L. Kingston, Attorney-in-Fact For: John P. Wiehoff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10/01/2026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241113" TargetMode="External"/><Relationship Id="rId5" Type="http://schemas.openxmlformats.org/officeDocument/2006/relationships/hyperlink" Target="http://www.sec.gov/cgi-bin/browse-edgar?action=getcompany&amp;CIK=0000100885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589</Words>
  <Characters>3189</Characters>
  <CharactersWithSpaces>3707</CharactersWithSpaces>
  <Paragraphs>99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