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Conlin Christina B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1400 DOUGLAS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OMAHA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68179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UNION PACIFIC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UNP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CHIEF LEGAL OFFICER &amp; CORP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33"/>
        <w:gridCol w:w="903"/>
        <w:gridCol w:w="773"/>
        <w:gridCol w:w="599"/>
        <w:gridCol w:w="343"/>
        <w:gridCol w:w="829"/>
        <w:gridCol w:w="440"/>
        <w:gridCol w:w="836"/>
        <w:gridCol w:w="1351"/>
        <w:gridCol w:w="980"/>
        <w:gridCol w:w="91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3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5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3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5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3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2.213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286.96</w:t>
            </w:r>
            <w:r>
              <w:rPr/>
              <w:t xml:space="preserve"> </w:t>
            </w:r>
          </w:p>
        </w:tc>
        <w:tc>
          <w:tcPr>
            <w:tcW w:w="1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16,009.479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Purchase pursuant to the 2021 Employee Stock Purchase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Trevor L. Kingston, Attorney-in-Fact For: Christina B. Conlin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64382" TargetMode="External"/><Relationship Id="rId5" Type="http://schemas.openxmlformats.org/officeDocument/2006/relationships/hyperlink" Target="http://www.sec.gov/cgi-bin/browse-edgar?action=getcompany&amp;CIK=000010088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577</Words>
  <Characters>3135</Characters>
  <CharactersWithSpaces>3653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