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Jalali Rahul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1400 DOUGLAS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OMAHA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68179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UNION PACIFIC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UNP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INFORMATION OFFICE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829"/>
        <w:gridCol w:w="440"/>
        <w:gridCol w:w="836"/>
        <w:gridCol w:w="1351"/>
        <w:gridCol w:w="980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8.364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286.96</w:t>
            </w:r>
            <w:r>
              <w:rPr/>
              <w:t xml:space="preserve"> 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33,122.746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Purchase pursuant to the 2021 Employee Stock Purchase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Trevor L. Kingston, Attorney-in-Fact For: Rahul Jalali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0217" TargetMode="External"/><Relationship Id="rId5" Type="http://schemas.openxmlformats.org/officeDocument/2006/relationships/hyperlink" Target="http://www.sec.gov/cgi-bin/browse-edgar?action=getcompany&amp;CIK=00001008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574</Words>
  <Characters>3125</Characters>
  <CharactersWithSpaces>3640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